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696523" w:rsidRDefault="001A6110">
      <w:pPr>
        <w:pStyle w:val="Titre3"/>
        <w:numPr>
          <w:ilvl w:val="0"/>
          <w:numId w:val="0"/>
        </w:numPr>
        <w:rPr>
          <w:rFonts w:ascii="Arial" w:hAnsi="Arial" w:cs="Arial"/>
        </w:rPr>
      </w:pPr>
      <w:r>
        <w:rPr>
          <w:noProof/>
          <w:lang w:eastAsia="fr-FR"/>
        </w:rPr>
        <w:drawing>
          <wp:anchor distT="0" distB="0" distL="114300" distR="114300" simplePos="0" relativeHeight="251657728" behindDoc="1" locked="0" layoutInCell="1" allowOverlap="1">
            <wp:simplePos x="0" y="0"/>
            <wp:positionH relativeFrom="column">
              <wp:posOffset>5080</wp:posOffset>
            </wp:positionH>
            <wp:positionV relativeFrom="paragraph">
              <wp:posOffset>-6985</wp:posOffset>
            </wp:positionV>
            <wp:extent cx="1362075" cy="121920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 xml:space="preserve"> </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Pr="00696523" w:rsidRDefault="003623A3">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bookmarkStart w:id="0" w:name="_GoBack"/>
                  <w:bookmarkEnd w:id="0"/>
                </w:p>
              </w:tc>
            </w:tr>
            <w:tr w:rsidR="00696523" w:rsidRPr="00696523" w:rsidTr="00696523">
              <w:tc>
                <w:tcPr>
                  <w:tcW w:w="10277" w:type="dxa"/>
                  <w:shd w:val="clear" w:color="auto" w:fill="66CCFF"/>
                </w:tcPr>
                <w:p w:rsidR="00696523" w:rsidRPr="00696523" w:rsidRDefault="005360AF" w:rsidP="00AE6449">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AE6449">
                    <w:rPr>
                      <w:rFonts w:ascii="Arial" w:hAnsi="Arial" w:cs="Arial"/>
                      <w:b/>
                      <w:bCs/>
                      <w:sz w:val="22"/>
                      <w:szCs w:val="22"/>
                    </w:rPr>
                    <w:t>Maître d’ouvrage</w:t>
                  </w:r>
                </w:p>
              </w:tc>
            </w:tr>
          </w:tbl>
          <w:p w:rsidR="00696523" w:rsidRPr="00696523" w:rsidRDefault="00696523" w:rsidP="00696523">
            <w:pPr>
              <w:rPr>
                <w:rFonts w:ascii="Arial" w:hAnsi="Arial" w:cs="Arial"/>
              </w:rPr>
            </w:pPr>
          </w:p>
        </w:tc>
      </w:tr>
    </w:tbl>
    <w:p w:rsidR="00696523" w:rsidRDefault="00696523">
      <w:pPr>
        <w:rPr>
          <w:rFonts w:ascii="Arial" w:hAnsi="Arial" w:cs="Arial"/>
        </w:rPr>
      </w:pPr>
    </w:p>
    <w:p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Pr="005360AF" w:rsidRDefault="005360AF" w:rsidP="005360AF">
      <w:pPr>
        <w:keepNext/>
        <w:numPr>
          <w:ilvl w:val="0"/>
          <w:numId w:val="1"/>
        </w:numPr>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696523" w:rsidRPr="00696523" w:rsidRDefault="00696523" w:rsidP="00696523">
      <w:pPr>
        <w:rPr>
          <w:rFonts w:ascii="Arial" w:hAnsi="Arial" w:cs="Arial"/>
        </w:rPr>
      </w:pPr>
    </w:p>
    <w:p w:rsidR="007411D9" w:rsidRPr="00696523" w:rsidRDefault="007411D9" w:rsidP="00696523">
      <w:pPr>
        <w:rPr>
          <w:rFonts w:ascii="Arial" w:hAnsi="Arial" w:cs="Arial"/>
        </w:rPr>
        <w:sectPr w:rsidR="007411D9" w:rsidRPr="00696523">
          <w:type w:val="continuous"/>
          <w:pgSz w:w="11906" w:h="16838"/>
          <w:pgMar w:top="454" w:right="851" w:bottom="736" w:left="851" w:header="720" w:footer="680" w:gutter="0"/>
          <w:cols w:space="720"/>
          <w:docGrid w:linePitch="360"/>
        </w:sectPr>
      </w:pPr>
    </w:p>
    <w:p w:rsidR="00AE6449" w:rsidRPr="00FC1F0E" w:rsidRDefault="00AE6449" w:rsidP="00AE6449">
      <w:pPr>
        <w:jc w:val="center"/>
        <w:rPr>
          <w:rFonts w:ascii="Arial" w:hAnsi="Arial" w:cs="Arial"/>
          <w:sz w:val="22"/>
          <w:szCs w:val="22"/>
        </w:rPr>
      </w:pPr>
      <w:r>
        <w:rPr>
          <w:rFonts w:ascii="Arial" w:hAnsi="Arial" w:cs="Arial"/>
          <w:b/>
          <w:bCs/>
          <w:sz w:val="22"/>
          <w:szCs w:val="22"/>
        </w:rPr>
        <w:t>DIDPPT25009</w:t>
      </w:r>
    </w:p>
    <w:p w:rsidR="00AE6449" w:rsidRPr="00FC1F0E" w:rsidRDefault="00AE6449" w:rsidP="00AE6449">
      <w:pPr>
        <w:jc w:val="center"/>
        <w:rPr>
          <w:rFonts w:ascii="Arial" w:hAnsi="Arial" w:cs="Arial"/>
          <w:sz w:val="22"/>
          <w:szCs w:val="22"/>
        </w:rPr>
      </w:pPr>
    </w:p>
    <w:p w:rsidR="00AE6449" w:rsidRPr="006D28D0" w:rsidRDefault="00AE6449" w:rsidP="00AE6449">
      <w:pPr>
        <w:jc w:val="center"/>
        <w:rPr>
          <w:rFonts w:ascii="Arial" w:hAnsi="Arial" w:cs="Arial"/>
          <w:b/>
          <w:sz w:val="22"/>
          <w:szCs w:val="22"/>
        </w:rPr>
      </w:pPr>
      <w:r w:rsidRPr="00FC1F0E">
        <w:rPr>
          <w:rFonts w:ascii="Arial" w:hAnsi="Arial" w:cs="Arial"/>
          <w:b/>
          <w:sz w:val="22"/>
          <w:szCs w:val="22"/>
        </w:rPr>
        <w:t xml:space="preserve">POLYNESIE FRANCAISE – </w:t>
      </w:r>
      <w:r w:rsidRPr="006D28D0">
        <w:rPr>
          <w:rFonts w:ascii="Arial" w:hAnsi="Arial" w:cs="Arial"/>
          <w:b/>
          <w:sz w:val="22"/>
          <w:szCs w:val="22"/>
        </w:rPr>
        <w:t>Ile de TAHITI – Commune de PAPEETE</w:t>
      </w:r>
    </w:p>
    <w:p w:rsidR="00AE6449" w:rsidRPr="00FC1F0E" w:rsidRDefault="00AE6449" w:rsidP="00AE6449">
      <w:pPr>
        <w:jc w:val="center"/>
        <w:rPr>
          <w:rFonts w:ascii="Arial" w:hAnsi="Arial" w:cs="Arial"/>
          <w:b/>
          <w:sz w:val="22"/>
          <w:szCs w:val="22"/>
        </w:rPr>
      </w:pPr>
      <w:r w:rsidRPr="006D28D0">
        <w:rPr>
          <w:rFonts w:ascii="Arial" w:hAnsi="Arial" w:cs="Arial"/>
          <w:b/>
          <w:sz w:val="22"/>
          <w:szCs w:val="22"/>
        </w:rPr>
        <w:t>Marine Nationale - Centre d’instruction Incendie</w:t>
      </w:r>
    </w:p>
    <w:p w:rsidR="00AE6449" w:rsidRPr="00FC1F0E" w:rsidRDefault="00AE6449" w:rsidP="00AE6449">
      <w:pPr>
        <w:jc w:val="center"/>
        <w:rPr>
          <w:rFonts w:ascii="Arial" w:hAnsi="Arial" w:cs="Arial"/>
          <w:b/>
          <w:sz w:val="22"/>
          <w:szCs w:val="22"/>
        </w:rPr>
      </w:pPr>
    </w:p>
    <w:p w:rsidR="00AE6449" w:rsidRDefault="00AE6449" w:rsidP="00AE6449">
      <w:pPr>
        <w:tabs>
          <w:tab w:val="left" w:pos="3180"/>
          <w:tab w:val="center" w:pos="4916"/>
        </w:tabs>
        <w:ind w:firstLine="491"/>
        <w:jc w:val="center"/>
        <w:rPr>
          <w:rFonts w:ascii="Arial" w:hAnsi="Arial" w:cs="Arial"/>
          <w:b/>
          <w:sz w:val="22"/>
          <w:szCs w:val="22"/>
        </w:rPr>
      </w:pPr>
      <w:r w:rsidRPr="009C0E33">
        <w:rPr>
          <w:rFonts w:ascii="Arial" w:hAnsi="Arial" w:cs="Arial"/>
          <w:b/>
          <w:sz w:val="22"/>
          <w:szCs w:val="22"/>
        </w:rPr>
        <w:t xml:space="preserve">Remise à niveau de l’aire d’entrainement par l’acquisition d’un simulateur d’entrainement aux techniques d’intervention à bord des navires </w:t>
      </w:r>
    </w:p>
    <w:p w:rsidR="00115997" w:rsidRPr="00696523" w:rsidRDefault="00115997">
      <w:pPr>
        <w:rPr>
          <w:rFonts w:ascii="Arial" w:hAnsi="Arial" w:cs="Arial"/>
          <w:b/>
          <w:bCs/>
        </w:rPr>
      </w:pPr>
    </w:p>
    <w:p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rsidR="007411D9" w:rsidRPr="00696523" w:rsidRDefault="007411D9">
      <w:pPr>
        <w:pStyle w:val="Titre1"/>
        <w:ind w:left="0" w:hanging="432"/>
        <w:rPr>
          <w:rFonts w:ascii="Arial" w:hAnsi="Arial" w:cs="Arial"/>
          <w:b w:val="0"/>
          <w:bCs w:val="0"/>
        </w:rPr>
      </w:pPr>
    </w:p>
    <w:p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411D9">
      <w:pPr>
        <w:pStyle w:val="Titre1"/>
        <w:ind w:left="0" w:hanging="432"/>
        <w:rPr>
          <w:rFonts w:ascii="Arial" w:hAnsi="Arial" w:cs="Arial"/>
          <w:b w:val="0"/>
          <w:bCs w:val="0"/>
        </w:rPr>
      </w:pPr>
    </w:p>
    <w:p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rsidR="007411D9" w:rsidRPr="00696523" w:rsidRDefault="007411D9">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Pr="00696523" w:rsidRDefault="00091702"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7411D9" w:rsidRPr="00696523"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rsidTr="00091702">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696523" w:rsidRDefault="00C1386A" w:rsidP="004411D3">
            <w:pPr>
              <w:rPr>
                <w:rFonts w:ascii="Arial" w:hAnsi="Arial" w:cs="Arial"/>
                <w:b/>
              </w:rPr>
            </w:pPr>
          </w:p>
          <w:p w:rsidR="00C1386A" w:rsidRPr="00696523" w:rsidRDefault="00C1386A">
            <w:pPr>
              <w:jc w:val="center"/>
              <w:rPr>
                <w:rFonts w:ascii="Arial" w:hAnsi="Arial" w:cs="Arial"/>
                <w:b/>
                <w:sz w:val="22"/>
                <w:szCs w:val="22"/>
              </w:rPr>
            </w:pPr>
            <w:r w:rsidRPr="00696523">
              <w:rPr>
                <w:rFonts w:ascii="Arial" w:hAnsi="Arial" w:cs="Arial"/>
                <w:b/>
                <w:sz w:val="22"/>
                <w:szCs w:val="22"/>
              </w:rPr>
              <w:t>N°</w:t>
            </w:r>
          </w:p>
          <w:p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rsidR="00C1386A" w:rsidRPr="00696523" w:rsidRDefault="00C1386A">
            <w:pPr>
              <w:snapToGrid w:val="0"/>
              <w:jc w:val="center"/>
              <w:rPr>
                <w:rFonts w:ascii="Arial" w:hAnsi="Arial" w:cs="Arial"/>
                <w:b/>
              </w:rPr>
            </w:pPr>
          </w:p>
          <w:p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C1386A" w:rsidRPr="00696523" w:rsidRDefault="00C1386A">
            <w:pPr>
              <w:pStyle w:val="Titre5"/>
              <w:snapToGrid w:val="0"/>
            </w:pPr>
          </w:p>
          <w:p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091702">
        <w:trPr>
          <w:trHeight w:val="1649"/>
        </w:trPr>
        <w:tc>
          <w:tcPr>
            <w:tcW w:w="974"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1569"/>
        </w:trPr>
        <w:tc>
          <w:tcPr>
            <w:tcW w:w="974"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r w:rsidR="00C1386A" w:rsidRPr="00696523" w:rsidTr="00091702">
        <w:trPr>
          <w:trHeight w:val="1548"/>
        </w:trPr>
        <w:tc>
          <w:tcPr>
            <w:tcW w:w="974"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80"/>
        </w:trPr>
        <w:tc>
          <w:tcPr>
            <w:tcW w:w="974"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386724" w:rsidRPr="00696523"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rsidR="00775F55" w:rsidRDefault="00775F55" w:rsidP="00091702">
      <w:pPr>
        <w:tabs>
          <w:tab w:val="left" w:pos="576"/>
        </w:tabs>
        <w:spacing w:before="80"/>
        <w:ind w:left="567"/>
        <w:jc w:val="both"/>
        <w:rPr>
          <w:rFonts w:ascii="Arial" w:hAnsi="Arial" w:cs="Arial"/>
        </w:rPr>
      </w:pP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091702" w:rsidRDefault="00091702" w:rsidP="00775F55">
      <w:pPr>
        <w:jc w:val="both"/>
        <w:rPr>
          <w:rFonts w:ascii="Arial" w:hAnsi="Arial" w:cs="Arial"/>
          <w:sz w:val="22"/>
          <w:szCs w:val="22"/>
        </w:rPr>
      </w:pPr>
    </w:p>
    <w:p w:rsidR="00477A4F" w:rsidRPr="00477A4F" w:rsidRDefault="00477A4F"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00163F">
        <w:rPr>
          <w:rFonts w:ascii="Arial" w:hAnsi="Arial" w:cs="Arial"/>
        </w:rPr>
      </w:r>
      <w:r w:rsidR="0000163F">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922BA4" w:rsidRDefault="00922BA4" w:rsidP="00477A4F">
      <w:pPr>
        <w:ind w:left="4536" w:hanging="4536"/>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Pr="00696523" w:rsidRDefault="00775F55"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F8" w:rsidRDefault="003622F8">
      <w:r>
        <w:separator/>
      </w:r>
    </w:p>
  </w:endnote>
  <w:endnote w:type="continuationSeparator" w:id="0">
    <w:p w:rsidR="003622F8" w:rsidRDefault="0036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trPr>
        <w:tblHeader/>
      </w:trPr>
      <w:tc>
        <w:tcPr>
          <w:tcW w:w="3048" w:type="dxa"/>
          <w:shd w:val="clear" w:color="auto" w:fill="66CCFF"/>
        </w:tcPr>
        <w:p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rsidR="007411D9" w:rsidRPr="00696523" w:rsidRDefault="00C96D6C" w:rsidP="00AE6449">
          <w:pPr>
            <w:jc w:val="center"/>
            <w:rPr>
              <w:rFonts w:ascii="Arial" w:hAnsi="Arial" w:cs="Arial"/>
              <w:b/>
              <w:bCs/>
              <w:sz w:val="22"/>
              <w:szCs w:val="22"/>
            </w:rPr>
          </w:pPr>
          <w:r>
            <w:rPr>
              <w:rFonts w:ascii="Arial" w:hAnsi="Arial" w:cs="Arial"/>
              <w:b/>
              <w:i/>
              <w:iCs/>
              <w:sz w:val="22"/>
              <w:szCs w:val="22"/>
            </w:rPr>
            <w:t>(DIDPPT2500</w:t>
          </w:r>
          <w:r w:rsidR="00AE6449">
            <w:rPr>
              <w:rFonts w:ascii="Arial" w:hAnsi="Arial" w:cs="Arial"/>
              <w:b/>
              <w:i/>
              <w:iCs/>
              <w:sz w:val="22"/>
              <w:szCs w:val="22"/>
            </w:rPr>
            <w:t>9</w:t>
          </w:r>
          <w:r w:rsidR="007411D9" w:rsidRPr="00696523">
            <w:rPr>
              <w:rFonts w:ascii="Arial" w:hAnsi="Arial" w:cs="Arial"/>
              <w:b/>
              <w:i/>
              <w:iCs/>
              <w:sz w:val="22"/>
              <w:szCs w:val="22"/>
            </w:rPr>
            <w:t>)</w:t>
          </w:r>
        </w:p>
      </w:tc>
      <w:tc>
        <w:tcPr>
          <w:tcW w:w="851" w:type="dxa"/>
          <w:shd w:val="clear" w:color="auto" w:fill="66CCFF"/>
        </w:tcPr>
        <w:p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00163F">
            <w:rPr>
              <w:rFonts w:ascii="Arial" w:hAnsi="Arial" w:cs="Arial"/>
              <w:b/>
              <w:noProof/>
              <w:sz w:val="22"/>
              <w:szCs w:val="22"/>
            </w:rPr>
            <w:t>5</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00163F">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F8" w:rsidRDefault="003622F8">
      <w:r>
        <w:separator/>
      </w:r>
    </w:p>
  </w:footnote>
  <w:footnote w:type="continuationSeparator" w:id="0">
    <w:p w:rsidR="003622F8" w:rsidRDefault="003622F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0163F"/>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15997"/>
    <w:rsid w:val="00184AEF"/>
    <w:rsid w:val="001A6110"/>
    <w:rsid w:val="001C3027"/>
    <w:rsid w:val="001D588C"/>
    <w:rsid w:val="001E1822"/>
    <w:rsid w:val="001E2A17"/>
    <w:rsid w:val="001F2872"/>
    <w:rsid w:val="00203AD5"/>
    <w:rsid w:val="00204AD4"/>
    <w:rsid w:val="00210677"/>
    <w:rsid w:val="002160E1"/>
    <w:rsid w:val="002247B8"/>
    <w:rsid w:val="00232658"/>
    <w:rsid w:val="00234A81"/>
    <w:rsid w:val="002440D7"/>
    <w:rsid w:val="002538A8"/>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2F8"/>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C69F3"/>
    <w:rsid w:val="008D5A17"/>
    <w:rsid w:val="008E00ED"/>
    <w:rsid w:val="008E1EBA"/>
    <w:rsid w:val="008E4066"/>
    <w:rsid w:val="00922BA4"/>
    <w:rsid w:val="009277A2"/>
    <w:rsid w:val="00960E4C"/>
    <w:rsid w:val="0097024E"/>
    <w:rsid w:val="00981CD3"/>
    <w:rsid w:val="009824E7"/>
    <w:rsid w:val="00990786"/>
    <w:rsid w:val="009924C9"/>
    <w:rsid w:val="009A6876"/>
    <w:rsid w:val="009B0B7A"/>
    <w:rsid w:val="009B14B4"/>
    <w:rsid w:val="00A02C06"/>
    <w:rsid w:val="00A17969"/>
    <w:rsid w:val="00A2002C"/>
    <w:rsid w:val="00A32C14"/>
    <w:rsid w:val="00A440EF"/>
    <w:rsid w:val="00A503F3"/>
    <w:rsid w:val="00A50BF9"/>
    <w:rsid w:val="00A520E2"/>
    <w:rsid w:val="00A70828"/>
    <w:rsid w:val="00A75394"/>
    <w:rsid w:val="00A80E9C"/>
    <w:rsid w:val="00AD1804"/>
    <w:rsid w:val="00AE5974"/>
    <w:rsid w:val="00AE6449"/>
    <w:rsid w:val="00AE730C"/>
    <w:rsid w:val="00B02DE5"/>
    <w:rsid w:val="00B21062"/>
    <w:rsid w:val="00B569DE"/>
    <w:rsid w:val="00B80797"/>
    <w:rsid w:val="00B9664F"/>
    <w:rsid w:val="00BB2EF6"/>
    <w:rsid w:val="00BE48FE"/>
    <w:rsid w:val="00C01A17"/>
    <w:rsid w:val="00C02D34"/>
    <w:rsid w:val="00C1386A"/>
    <w:rsid w:val="00C50B6D"/>
    <w:rsid w:val="00C751EE"/>
    <w:rsid w:val="00C812AC"/>
    <w:rsid w:val="00C877BA"/>
    <w:rsid w:val="00C96D6C"/>
    <w:rsid w:val="00CB1774"/>
    <w:rsid w:val="00CC3A38"/>
    <w:rsid w:val="00CD0F79"/>
    <w:rsid w:val="00CD1D0F"/>
    <w:rsid w:val="00CD4969"/>
    <w:rsid w:val="00CD55BF"/>
    <w:rsid w:val="00D07C18"/>
    <w:rsid w:val="00D60FCE"/>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E319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0522D1"/>
  <w15:chartTrackingRefBased/>
  <w15:docId w15:val="{0FE2D4FA-ACE6-4656-8AD5-5CE33C81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22411-DD79-4AD0-B7D4-5A4CE4053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2151</Words>
  <Characters>11832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13956</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EGALON Anne-Christelle ATTACHE PRIN ADMI</cp:lastModifiedBy>
  <cp:revision>3</cp:revision>
  <cp:lastPrinted>2016-11-03T00:51:00Z</cp:lastPrinted>
  <dcterms:created xsi:type="dcterms:W3CDTF">2025-07-17T17:31:00Z</dcterms:created>
  <dcterms:modified xsi:type="dcterms:W3CDTF">2025-07-17T17:32:00Z</dcterms:modified>
</cp:coreProperties>
</file>